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793F7">
      <w:pPr>
        <w:keepNext w:val="0"/>
        <w:keepLines w:val="0"/>
        <w:pageBreakBefore w:val="0"/>
        <w:widowControl w:val="0"/>
        <w:kinsoku/>
        <w:wordWrap/>
        <w:overflowPunct/>
        <w:topLinePunct w:val="0"/>
        <w:autoSpaceDE/>
        <w:autoSpaceDN/>
        <w:bidi w:val="0"/>
        <w:adjustRightInd/>
        <w:snapToGrid/>
        <w:spacing w:before="157" w:beforeLines="50" w:after="157" w:afterLines="50" w:line="0" w:lineRule="atLeast"/>
        <w:jc w:val="center"/>
        <w:textAlignment w:val="auto"/>
        <w:rPr>
          <w:rFonts w:ascii="方正小标宋简体" w:hAnsi="仿宋" w:eastAsia="方正小标宋简体" w:cs="仿宋"/>
          <w:b/>
          <w:bCs/>
          <w:sz w:val="44"/>
          <w:szCs w:val="44"/>
        </w:rPr>
      </w:pPr>
      <w:r>
        <w:rPr>
          <w:rFonts w:hint="eastAsia" w:ascii="方正小标宋简体" w:hAnsi="仿宋" w:eastAsia="方正小标宋简体" w:cs="仿宋"/>
          <w:b/>
          <w:bCs/>
          <w:sz w:val="44"/>
          <w:szCs w:val="44"/>
        </w:rPr>
        <w:t>昆明市202</w:t>
      </w:r>
      <w:r>
        <w:rPr>
          <w:rFonts w:hint="eastAsia" w:ascii="方正小标宋简体" w:hAnsi="仿宋" w:eastAsia="方正小标宋简体" w:cs="仿宋"/>
          <w:b/>
          <w:bCs/>
          <w:sz w:val="44"/>
          <w:szCs w:val="44"/>
          <w:lang w:val="en-US" w:eastAsia="zh-CN"/>
        </w:rPr>
        <w:t>5</w:t>
      </w:r>
      <w:r>
        <w:rPr>
          <w:rFonts w:hint="eastAsia" w:ascii="方正小标宋简体" w:hAnsi="仿宋" w:eastAsia="方正小标宋简体" w:cs="仿宋"/>
          <w:b/>
          <w:bCs/>
          <w:sz w:val="44"/>
          <w:szCs w:val="44"/>
        </w:rPr>
        <w:t>年</w:t>
      </w:r>
      <w:r>
        <w:rPr>
          <w:rFonts w:hint="eastAsia" w:ascii="方正小标宋简体" w:hAnsi="仿宋" w:eastAsia="方正小标宋简体" w:cs="仿宋"/>
          <w:b/>
          <w:bCs/>
          <w:sz w:val="44"/>
          <w:szCs w:val="44"/>
          <w:lang w:eastAsia="zh-CN"/>
        </w:rPr>
        <w:t>度</w:t>
      </w:r>
      <w:r>
        <w:rPr>
          <w:rFonts w:hint="eastAsia" w:ascii="方正小标宋简体" w:hAnsi="仿宋" w:eastAsia="方正小标宋简体" w:cs="仿宋"/>
          <w:b/>
          <w:bCs/>
          <w:sz w:val="44"/>
          <w:szCs w:val="44"/>
        </w:rPr>
        <w:t>监测结果应用案例</w:t>
      </w:r>
    </w:p>
    <w:p w14:paraId="7F50E669">
      <w:pPr>
        <w:keepNext w:val="0"/>
        <w:keepLines w:val="0"/>
        <w:pageBreakBefore w:val="0"/>
        <w:widowControl w:val="0"/>
        <w:kinsoku/>
        <w:wordWrap/>
        <w:overflowPunct/>
        <w:topLinePunct w:val="0"/>
        <w:autoSpaceDE/>
        <w:autoSpaceDN/>
        <w:bidi w:val="0"/>
        <w:adjustRightInd/>
        <w:snapToGrid/>
        <w:spacing w:before="157" w:beforeLines="50" w:after="157" w:afterLines="50" w:line="0" w:lineRule="atLeast"/>
        <w:jc w:val="center"/>
        <w:textAlignment w:val="auto"/>
        <w:rPr>
          <w:rFonts w:ascii="方正小标宋简体" w:hAnsi="仿宋" w:eastAsia="方正小标宋简体" w:cs="仿宋"/>
          <w:b/>
          <w:bCs/>
          <w:sz w:val="44"/>
          <w:szCs w:val="44"/>
        </w:rPr>
      </w:pPr>
      <w:r>
        <w:rPr>
          <w:rFonts w:hint="eastAsia" w:ascii="方正小标宋简体" w:hAnsi="仿宋" w:eastAsia="方正小标宋简体" w:cs="仿宋"/>
          <w:b/>
          <w:bCs/>
          <w:sz w:val="44"/>
          <w:szCs w:val="44"/>
        </w:rPr>
        <w:t>立项名单公示</w:t>
      </w:r>
    </w:p>
    <w:p w14:paraId="0C3A2D0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根据昆明市教育科学研究院《关于开展昆明市202</w:t>
      </w:r>
      <w:r>
        <w:rPr>
          <w:rFonts w:hint="eastAsia" w:ascii="仿宋" w:hAnsi="仿宋" w:eastAsia="仿宋" w:cs="仿宋"/>
          <w:sz w:val="32"/>
          <w:szCs w:val="32"/>
          <w:lang w:val="en-US" w:eastAsia="zh-CN"/>
        </w:rPr>
        <w:t>5</w:t>
      </w:r>
      <w:r>
        <w:rPr>
          <w:rFonts w:hint="eastAsia" w:ascii="仿宋" w:hAnsi="仿宋" w:eastAsia="仿宋" w:cs="仿宋"/>
          <w:sz w:val="32"/>
          <w:szCs w:val="32"/>
        </w:rPr>
        <w:t>年监测结果应用优秀案例评选活动的通知》要求，经昆明市教育科学研究院对全市各县（市）区、学校上报的</w:t>
      </w:r>
      <w:r>
        <w:rPr>
          <w:rFonts w:hint="eastAsia" w:ascii="仿宋" w:hAnsi="仿宋" w:eastAsia="仿宋" w:cs="仿宋"/>
          <w:sz w:val="32"/>
          <w:szCs w:val="32"/>
          <w:lang w:val="en-US" w:eastAsia="zh-CN"/>
        </w:rPr>
        <w:t>153</w:t>
      </w:r>
      <w:r>
        <w:rPr>
          <w:rFonts w:hint="eastAsia" w:ascii="仿宋" w:hAnsi="仿宋" w:eastAsia="仿宋" w:cs="仿宋"/>
          <w:sz w:val="32"/>
          <w:szCs w:val="32"/>
        </w:rPr>
        <w:t>项案例进行立项</w:t>
      </w:r>
      <w:r>
        <w:rPr>
          <w:rFonts w:hint="eastAsia" w:ascii="仿宋" w:hAnsi="仿宋" w:eastAsia="仿宋" w:cs="仿宋"/>
          <w:sz w:val="32"/>
          <w:szCs w:val="32"/>
          <w:lang w:eastAsia="zh-CN"/>
        </w:rPr>
        <w:t>评审</w:t>
      </w:r>
      <w:r>
        <w:rPr>
          <w:rFonts w:hint="eastAsia" w:ascii="仿宋" w:hAnsi="仿宋" w:eastAsia="仿宋" w:cs="仿宋"/>
          <w:sz w:val="32"/>
          <w:szCs w:val="32"/>
        </w:rPr>
        <w:t>,最终评选出立项案例</w:t>
      </w:r>
      <w:r>
        <w:rPr>
          <w:rFonts w:hint="eastAsia" w:ascii="仿宋" w:hAnsi="仿宋" w:eastAsia="仿宋" w:cs="仿宋"/>
          <w:sz w:val="32"/>
          <w:szCs w:val="32"/>
          <w:lang w:val="en-US" w:eastAsia="zh-CN"/>
        </w:rPr>
        <w:t>59</w:t>
      </w:r>
      <w:r>
        <w:rPr>
          <w:rFonts w:hint="eastAsia" w:ascii="仿宋" w:hAnsi="仿宋" w:eastAsia="仿宋" w:cs="仿宋"/>
          <w:sz w:val="32"/>
          <w:szCs w:val="32"/>
        </w:rPr>
        <w:t>项，现将立项名单予以公示，公示期为202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日至</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14:paraId="6B323C1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任何单位或个人对立项结果有异议的，请在公示期内以来电</w:t>
      </w:r>
      <w:r>
        <w:rPr>
          <w:rFonts w:hint="eastAsia" w:ascii="仿宋" w:hAnsi="仿宋" w:eastAsia="仿宋" w:cs="仿宋"/>
          <w:sz w:val="32"/>
          <w:szCs w:val="32"/>
          <w:lang w:eastAsia="zh-CN"/>
        </w:rPr>
        <w:t>的</w:t>
      </w:r>
      <w:r>
        <w:rPr>
          <w:rFonts w:hint="eastAsia" w:ascii="仿宋" w:hAnsi="仿宋" w:eastAsia="仿宋" w:cs="仿宋"/>
          <w:sz w:val="32"/>
          <w:szCs w:val="32"/>
        </w:rPr>
        <w:t>形式向我院反映。</w:t>
      </w:r>
      <w:bookmarkStart w:id="0" w:name="_GoBack"/>
      <w:bookmarkEnd w:id="0"/>
    </w:p>
    <w:p w14:paraId="7F95A61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联系电话：0871—6539</w:t>
      </w:r>
      <w:r>
        <w:rPr>
          <w:rFonts w:hint="eastAsia" w:ascii="仿宋" w:hAnsi="仿宋" w:eastAsia="仿宋" w:cs="仿宋"/>
          <w:sz w:val="32"/>
          <w:szCs w:val="32"/>
          <w:lang w:val="en-US" w:eastAsia="zh-CN"/>
        </w:rPr>
        <w:t>4003</w:t>
      </w:r>
      <w:r>
        <w:rPr>
          <w:rFonts w:hint="eastAsia" w:ascii="仿宋" w:hAnsi="仿宋" w:eastAsia="仿宋" w:cs="仿宋"/>
          <w:sz w:val="32"/>
          <w:szCs w:val="32"/>
        </w:rPr>
        <w:t>。</w:t>
      </w:r>
    </w:p>
    <w:p w14:paraId="520D4E9F">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附件：</w:t>
      </w:r>
      <w:r>
        <w:rPr>
          <w:rFonts w:hint="eastAsia" w:ascii="仿宋_GB2312" w:hAnsi="仿宋" w:eastAsia="仿宋_GB2312"/>
          <w:sz w:val="32"/>
          <w:szCs w:val="32"/>
        </w:rPr>
        <w:t>昆明市202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监测结果应用案例立项名单</w:t>
      </w:r>
    </w:p>
    <w:p w14:paraId="6641C697">
      <w:pPr>
        <w:spacing w:line="560" w:lineRule="exact"/>
        <w:ind w:firstLine="640" w:firstLineChars="200"/>
        <w:rPr>
          <w:rFonts w:ascii="仿宋" w:hAnsi="仿宋" w:eastAsia="仿宋" w:cs="仿宋"/>
          <w:sz w:val="32"/>
          <w:szCs w:val="32"/>
        </w:rPr>
      </w:pPr>
    </w:p>
    <w:p w14:paraId="53692D11">
      <w:pPr>
        <w:spacing w:line="560" w:lineRule="exact"/>
        <w:rPr>
          <w:rFonts w:ascii="仿宋" w:hAnsi="仿宋" w:eastAsia="仿宋"/>
          <w:sz w:val="32"/>
          <w:szCs w:val="32"/>
        </w:rPr>
      </w:pPr>
    </w:p>
    <w:p w14:paraId="2BDC9272">
      <w:pPr>
        <w:spacing w:line="560" w:lineRule="exact"/>
        <w:rPr>
          <w:rFonts w:ascii="仿宋" w:hAnsi="仿宋" w:eastAsia="仿宋"/>
          <w:sz w:val="32"/>
          <w:szCs w:val="32"/>
        </w:rPr>
      </w:pPr>
    </w:p>
    <w:p w14:paraId="48CEEA26">
      <w:pPr>
        <w:spacing w:line="560" w:lineRule="exact"/>
        <w:rPr>
          <w:rFonts w:ascii="仿宋" w:hAnsi="仿宋" w:eastAsia="仿宋"/>
          <w:sz w:val="32"/>
          <w:szCs w:val="32"/>
        </w:rPr>
      </w:pPr>
    </w:p>
    <w:p w14:paraId="4DC09467">
      <w:pPr>
        <w:spacing w:line="560" w:lineRule="exact"/>
        <w:rPr>
          <w:rFonts w:ascii="仿宋" w:hAnsi="仿宋" w:eastAsia="仿宋"/>
          <w:sz w:val="32"/>
          <w:szCs w:val="32"/>
        </w:rPr>
      </w:pPr>
    </w:p>
    <w:p w14:paraId="5D200A5E">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昆明市教育科学研究院</w:t>
      </w:r>
    </w:p>
    <w:p w14:paraId="63AC87A8">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2FAC9490">
      <w:pPr>
        <w:spacing w:line="560" w:lineRule="exact"/>
        <w:ind w:firstLine="640" w:firstLineChars="200"/>
        <w:jc w:val="center"/>
        <w:rPr>
          <w:rFonts w:ascii="仿宋" w:hAnsi="仿宋" w:eastAsia="仿宋" w:cs="仿宋"/>
          <w:sz w:val="32"/>
          <w:szCs w:val="32"/>
        </w:rPr>
      </w:pPr>
    </w:p>
    <w:p w14:paraId="23C39558">
      <w:pPr>
        <w:rPr>
          <w:rFonts w:ascii="仿宋" w:hAnsi="仿宋" w:eastAsia="仿宋" w:cs="仿宋"/>
          <w:sz w:val="32"/>
          <w:szCs w:val="32"/>
        </w:rPr>
      </w:pPr>
    </w:p>
    <w:p w14:paraId="56545DFA">
      <w:pPr>
        <w:rPr>
          <w:rFonts w:ascii="仿宋" w:hAnsi="仿宋" w:eastAsia="仿宋" w:cs="仿宋"/>
          <w:sz w:val="32"/>
          <w:szCs w:val="32"/>
        </w:rPr>
      </w:pPr>
    </w:p>
    <w:p w14:paraId="67026C8C">
      <w:pPr>
        <w:rPr>
          <w:rFonts w:ascii="仿宋" w:hAnsi="仿宋" w:eastAsia="仿宋" w:cs="仿宋"/>
          <w:sz w:val="32"/>
          <w:szCs w:val="32"/>
        </w:rPr>
      </w:pPr>
    </w:p>
    <w:p w14:paraId="223133CE">
      <w:pPr>
        <w:rPr>
          <w:rFonts w:ascii="仿宋" w:hAnsi="仿宋" w:eastAsia="仿宋" w:cs="仿宋"/>
          <w:sz w:val="32"/>
          <w:szCs w:val="32"/>
        </w:rPr>
      </w:pPr>
    </w:p>
    <w:p w14:paraId="54ACE828">
      <w:pPr>
        <w:jc w:val="left"/>
        <w:rPr>
          <w:rFonts w:ascii="仿宋" w:hAnsi="仿宋" w:eastAsia="仿宋"/>
          <w:b/>
          <w:sz w:val="24"/>
          <w:szCs w:val="24"/>
        </w:rPr>
      </w:pPr>
      <w:r>
        <w:rPr>
          <w:rFonts w:hint="eastAsia" w:ascii="仿宋" w:hAnsi="仿宋" w:eastAsia="仿宋"/>
          <w:b/>
          <w:sz w:val="24"/>
          <w:szCs w:val="24"/>
        </w:rPr>
        <w:t>附件：</w:t>
      </w:r>
    </w:p>
    <w:p w14:paraId="07D1B766">
      <w:pPr>
        <w:jc w:val="center"/>
        <w:rPr>
          <w:rFonts w:ascii="仿宋" w:hAnsi="仿宋" w:eastAsia="仿宋"/>
          <w:b/>
          <w:sz w:val="32"/>
          <w:szCs w:val="32"/>
        </w:rPr>
      </w:pPr>
      <w:r>
        <w:rPr>
          <w:rFonts w:hint="eastAsia" w:ascii="仿宋" w:hAnsi="仿宋" w:eastAsia="仿宋"/>
          <w:b/>
          <w:sz w:val="32"/>
          <w:szCs w:val="32"/>
        </w:rPr>
        <w:t>昆明市202</w:t>
      </w:r>
      <w:r>
        <w:rPr>
          <w:rFonts w:hint="eastAsia" w:ascii="仿宋" w:hAnsi="仿宋" w:eastAsia="仿宋"/>
          <w:b/>
          <w:sz w:val="32"/>
          <w:szCs w:val="32"/>
          <w:lang w:val="en-US" w:eastAsia="zh-CN"/>
        </w:rPr>
        <w:t>5</w:t>
      </w:r>
      <w:r>
        <w:rPr>
          <w:rFonts w:hint="eastAsia" w:ascii="仿宋" w:hAnsi="仿宋" w:eastAsia="仿宋"/>
          <w:b/>
          <w:sz w:val="32"/>
          <w:szCs w:val="32"/>
        </w:rPr>
        <w:t>年</w:t>
      </w:r>
      <w:r>
        <w:rPr>
          <w:rFonts w:hint="eastAsia" w:ascii="仿宋" w:hAnsi="仿宋" w:eastAsia="仿宋"/>
          <w:b/>
          <w:sz w:val="32"/>
          <w:szCs w:val="32"/>
          <w:lang w:eastAsia="zh-CN"/>
        </w:rPr>
        <w:t>度</w:t>
      </w:r>
      <w:r>
        <w:rPr>
          <w:rFonts w:hint="eastAsia" w:ascii="仿宋" w:hAnsi="仿宋" w:eastAsia="仿宋"/>
          <w:b/>
          <w:sz w:val="32"/>
          <w:szCs w:val="32"/>
        </w:rPr>
        <w:t>监测结果应用案例</w:t>
      </w:r>
    </w:p>
    <w:p w14:paraId="036DEC53">
      <w:pPr>
        <w:jc w:val="center"/>
        <w:rPr>
          <w:rFonts w:hint="eastAsia" w:ascii="仿宋" w:hAnsi="仿宋" w:eastAsia="仿宋"/>
          <w:b/>
          <w:sz w:val="32"/>
          <w:szCs w:val="32"/>
        </w:rPr>
      </w:pPr>
      <w:r>
        <w:rPr>
          <w:rFonts w:hint="eastAsia" w:ascii="仿宋" w:hAnsi="仿宋" w:eastAsia="仿宋"/>
          <w:b/>
          <w:sz w:val="32"/>
          <w:szCs w:val="32"/>
        </w:rPr>
        <w:t>立项名单</w:t>
      </w:r>
    </w:p>
    <w:p w14:paraId="0616B39D">
      <w:pPr>
        <w:jc w:val="center"/>
        <w:rPr>
          <w:rFonts w:ascii="仿宋" w:hAnsi="仿宋" w:eastAsia="仿宋"/>
          <w:b/>
          <w:sz w:val="32"/>
          <w:szCs w:val="32"/>
        </w:rPr>
      </w:pPr>
      <w:r>
        <w:rPr>
          <w:rFonts w:hint="eastAsia" w:ascii="仿宋" w:hAnsi="仿宋" w:eastAsia="仿宋"/>
          <w:b/>
          <w:sz w:val="32"/>
          <w:szCs w:val="32"/>
        </w:rPr>
        <w:t>（共</w:t>
      </w:r>
      <w:r>
        <w:rPr>
          <w:rFonts w:hint="eastAsia" w:ascii="仿宋" w:hAnsi="仿宋" w:eastAsia="仿宋"/>
          <w:b/>
          <w:sz w:val="32"/>
          <w:szCs w:val="32"/>
          <w:lang w:val="en-US" w:eastAsia="zh-CN"/>
        </w:rPr>
        <w:t>59</w:t>
      </w:r>
      <w:r>
        <w:rPr>
          <w:rFonts w:hint="eastAsia" w:ascii="仿宋" w:hAnsi="仿宋" w:eastAsia="仿宋"/>
          <w:b/>
          <w:sz w:val="32"/>
          <w:szCs w:val="32"/>
        </w:rPr>
        <w:t>项）</w:t>
      </w:r>
    </w:p>
    <w:tbl>
      <w:tblPr>
        <w:tblStyle w:val="4"/>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4635"/>
        <w:gridCol w:w="1474"/>
        <w:gridCol w:w="2816"/>
      </w:tblGrid>
      <w:tr w14:paraId="6999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01EB">
            <w:pPr>
              <w:keepNext w:val="0"/>
              <w:keepLines w:val="0"/>
              <w:widowControl/>
              <w:suppressLineNumbers w:val="0"/>
              <w:jc w:val="center"/>
              <w:textAlignment w:val="center"/>
              <w:rPr>
                <w:rFonts w:ascii="华文仿宋" w:hAnsi="华文仿宋" w:eastAsia="华文仿宋" w:cs="华文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D248">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案例名称</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C589">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负责人</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A79E">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申报单位</w:t>
            </w:r>
          </w:p>
        </w:tc>
      </w:tr>
      <w:tr w14:paraId="1E97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CB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43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借助思维导图提升小学生阅读中整体感知能力研究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EC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薛根记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29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昆明经济技术开发区实验小学</w:t>
            </w:r>
          </w:p>
        </w:tc>
      </w:tr>
      <w:tr w14:paraId="3479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68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71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昆明经济技术开发区实验小学五年级数字素养提升案例</w:t>
            </w:r>
            <w:r>
              <w:rPr>
                <w:rStyle w:val="18"/>
                <w:rFonts w:hint="eastAsia" w:asciiTheme="majorEastAsia" w:hAnsiTheme="majorEastAsia" w:eastAsiaTheme="majorEastAsia" w:cstheme="majorEastAsia"/>
                <w:sz w:val="18"/>
                <w:szCs w:val="18"/>
                <w:lang w:val="en-US" w:eastAsia="zh-CN" w:bidi="ar"/>
              </w:rPr>
              <w:t>——</w:t>
            </w:r>
            <w:r>
              <w:rPr>
                <w:rFonts w:hint="eastAsia" w:asciiTheme="majorEastAsia" w:hAnsiTheme="majorEastAsia" w:eastAsiaTheme="majorEastAsia" w:cstheme="majorEastAsia"/>
                <w:i w:val="0"/>
                <w:iCs w:val="0"/>
                <w:color w:val="000000"/>
                <w:kern w:val="0"/>
                <w:sz w:val="18"/>
                <w:szCs w:val="18"/>
                <w:u w:val="none"/>
                <w:lang w:val="en-US" w:eastAsia="zh-CN" w:bidi="ar"/>
              </w:rPr>
              <w:t>基于信息社会责任薄弱环节的改进实践</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77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郭祖云</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25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昆明经济技术开发区实验小学</w:t>
            </w:r>
          </w:p>
        </w:tc>
      </w:tr>
      <w:tr w14:paraId="6793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45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BD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以质量监测数据为引擎的小学数学 “图形与几何” 精准教学改进案例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58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杨粉英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66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昆明市西山区丹霞路小学</w:t>
            </w:r>
          </w:p>
        </w:tc>
      </w:tr>
      <w:tr w14:paraId="2D07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AC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A7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基于质量监测结果的小学语文阅读教学课堂评价研究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F6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方佶蕊</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FA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昆明市西山区教育科学研究院</w:t>
            </w:r>
          </w:p>
        </w:tc>
      </w:tr>
      <w:tr w14:paraId="7B01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1A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5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“三新”背景下提升小学语文非连续性文本阅读能力的行动研究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CF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杜婉莹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5C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昆明市西山区书林第一小学</w:t>
            </w:r>
          </w:p>
        </w:tc>
      </w:tr>
      <w:tr w14:paraId="52C2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BD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46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基于监测结果及新教材单元拓展阅读语篇提高初中学生阅读高阶思维的实践研究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42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白春梅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56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粤秀中学（西山区教科院附属中学）</w:t>
            </w:r>
          </w:p>
        </w:tc>
      </w:tr>
      <w:tr w14:paraId="0BAE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76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E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基于传统文化自信的初中语文综合性学习教学策略研究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44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孔祥奕</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3F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粤秀中学（西山区教科院附属中学）</w:t>
            </w:r>
          </w:p>
        </w:tc>
      </w:tr>
      <w:tr w14:paraId="50EA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DF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BB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质量监测视域下小学数学量感培养路径优化教学实践研究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B6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徐  芬</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FB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寻甸县仁德街道办事处第一小学</w:t>
            </w:r>
          </w:p>
        </w:tc>
      </w:tr>
      <w:tr w14:paraId="3F37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2B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03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基于质量监测结果运用表现性评价培养小学生数据意识的研究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4C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杨洪玉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6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寻甸县仁德街道办事处第二小学</w:t>
            </w:r>
          </w:p>
        </w:tc>
      </w:tr>
      <w:tr w14:paraId="34F6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E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A8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初中数学项目式学习课程模型构建与教学实践研究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0E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朱兴强</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A1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r w14:paraId="54BF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93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AB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基于质量监测结果开展项目式学习（PBL）驱动小学生数字化学习习惯培养的策略研究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C6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何中华</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35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寻甸县仁德街道办事处第四小学</w:t>
            </w:r>
          </w:p>
        </w:tc>
      </w:tr>
      <w:tr w14:paraId="7E1E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D1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CC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基于质量监测结果提升寻甸县小学第三学段学生思辨性阅读与表达能力的实践研究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3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秦兴丽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D8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寻甸县仁德街道办事处第三小学</w:t>
            </w:r>
          </w:p>
        </w:tc>
      </w:tr>
      <w:tr w14:paraId="53A5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9E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BE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新课标理论指导下提升小学数字素养教学质量的实践研究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7A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施继果</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B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宜良县清远小学</w:t>
            </w:r>
          </w:p>
        </w:tc>
      </w:tr>
      <w:tr w14:paraId="44EF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F1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D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基于“”几何直观”素养培育的小学数学课堂教学实践研究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F6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杨德冬</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5B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宜良县清远小学</w:t>
            </w:r>
          </w:p>
        </w:tc>
      </w:tr>
      <w:tr w14:paraId="36BE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1F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DC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基于质量检测结果在新课标背景下提升初中数学学科实践应用能力的策略研究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BD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  敏</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77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宜良县教研科学研究与教师发展中心</w:t>
            </w:r>
          </w:p>
        </w:tc>
      </w:tr>
      <w:tr w14:paraId="52B4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78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EE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基于学习痛点诊断的初中语文关键课例精准施教的案例研究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3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殷立新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3B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宜良县第一中学</w:t>
            </w:r>
          </w:p>
        </w:tc>
      </w:tr>
      <w:tr w14:paraId="0491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E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4E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教学评一体化背景下以小组合作学习形式提升学生阅读素养</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9D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张明仙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9B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安中太平小学部</w:t>
            </w:r>
          </w:p>
        </w:tc>
      </w:tr>
      <w:tr w14:paraId="11E0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32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D2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基于生活中真实问题解决的小学数学“综合与实践”项目式设计研究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72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余翎雅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89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安中太平小学部</w:t>
            </w:r>
          </w:p>
        </w:tc>
      </w:tr>
      <w:tr w14:paraId="0D83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A8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5A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融合阅读思维发展与语文综合素养提升的小学教学实践研究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86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吴  倩</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A3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安宁中学嵩华学校</w:t>
            </w:r>
          </w:p>
        </w:tc>
      </w:tr>
      <w:tr w14:paraId="1A5B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4F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06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从“学课文”到“学策略”：指向初中语文散文阅读策略性知识构建的教学实践</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8C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陈  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9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r w14:paraId="5ED8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AA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BD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小学信息科技中信息意识素养的表现与提升路径</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00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赵双麟</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FF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安宁市第一小学</w:t>
            </w:r>
          </w:p>
        </w:tc>
      </w:tr>
      <w:tr w14:paraId="6895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9D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BA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关于提升七年级学生英语阅读素养的教育研究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30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党建颖</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77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安宁市太平新城学校</w:t>
            </w:r>
          </w:p>
        </w:tc>
      </w:tr>
      <w:tr w14:paraId="351F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62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43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基于质量监测结果下改善学生语文素养发展不平衡问题的研究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67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李艳娜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94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安宁中学初中部</w:t>
            </w:r>
          </w:p>
        </w:tc>
      </w:tr>
      <w:tr w14:paraId="6EDE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84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25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初中生英语书面表达能力提升策略的研究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C1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梁晓靖</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F3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安宁中学初中部</w:t>
            </w:r>
          </w:p>
        </w:tc>
      </w:tr>
      <w:tr w14:paraId="2218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B6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1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基于质量监测结果提升五年级学生语言运用能力的案例研究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03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陈思妍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F5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昆明市级呈贡区基础教育科学研究院</w:t>
            </w:r>
          </w:p>
        </w:tc>
      </w:tr>
      <w:tr w14:paraId="1D6B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2C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ED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利用五年级统测几何错题资源设计推理意识提升题的策略研究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D2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毕  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E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昆明市呈贡区第五小学</w:t>
            </w:r>
          </w:p>
        </w:tc>
      </w:tr>
      <w:tr w14:paraId="01C3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9C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65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智能体在小学五年级阅读教学中应用的案例研究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D0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余  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AF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云南师范大学附属小学呈贡学校</w:t>
            </w:r>
          </w:p>
        </w:tc>
      </w:tr>
      <w:tr w14:paraId="7B6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67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30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基于监测结果——以核心素养为导向的教学评一体化案例设计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99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魏  仪</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F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昆明市呈贡区第二小学康苑学校</w:t>
            </w:r>
          </w:p>
        </w:tc>
      </w:tr>
      <w:tr w14:paraId="28E8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53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DF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以监测结果为导向的教学优化实践——育润家国情怀，以六年级英雄事迹类文本阅读教学为例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4D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陈  麒</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59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昆明市呈贡区第二小学康苑学校</w:t>
            </w:r>
          </w:p>
        </w:tc>
      </w:tr>
      <w:tr w14:paraId="06CF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61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3C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数据驱动下的多学科协同培养五年级学生信息素养的实践研究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49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赵睿贤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1F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昆明市呈贡区第二小学</w:t>
            </w:r>
          </w:p>
        </w:tc>
      </w:tr>
      <w:tr w14:paraId="3DFB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F1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7A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基于市级质量监测数据下初中语文现代文阅读理解教学模式实践研究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A2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  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4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昆明市呈贡区基础教育科学研究院</w:t>
            </w:r>
          </w:p>
        </w:tc>
      </w:tr>
      <w:tr w14:paraId="13FD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C7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FF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基于监测结果发展第二学段学生“量感”的案例研究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6C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段雪梅</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A4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富民县永定小学</w:t>
            </w:r>
          </w:p>
        </w:tc>
      </w:tr>
      <w:tr w14:paraId="6795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F1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42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从监测数据到作业改进：图形与几何探究作业练习设计实践案例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72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何俊波</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29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富民县大营中心小学</w:t>
            </w:r>
          </w:p>
        </w:tc>
      </w:tr>
      <w:tr w14:paraId="1872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19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57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探索小学数学第三学段学生几何直观解题策略的实践研究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F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段林敏</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D9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富民县罗免中心小学</w:t>
            </w:r>
          </w:p>
        </w:tc>
      </w:tr>
      <w:tr w14:paraId="30FF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6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B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运用沟通理论促进小学四年级学生家庭积极心理环境建设的行动研究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54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丁  励</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C0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昆明市官渡区教育发展研究院</w:t>
            </w:r>
          </w:p>
        </w:tc>
      </w:tr>
      <w:tr w14:paraId="257B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22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8F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基于质量监测数据的小学数字素养教学高阶思维能力培养的案例研究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40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黄  俊</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ED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r w14:paraId="08EB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30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A0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基于“教学评”一体化理念促进小学数学创新意识素养提升的实践研究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1D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谭傲菡</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6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官渡区教育发展研究院</w:t>
            </w:r>
          </w:p>
        </w:tc>
      </w:tr>
      <w:tr w14:paraId="6A9F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0F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A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数据驱动，精准干预——构建区域四年级学生体能提升新路径</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20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马  成</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8F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昆明市官渡区教育发展研究院</w:t>
            </w:r>
          </w:p>
        </w:tc>
      </w:tr>
      <w:tr w14:paraId="7F4A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A4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39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基于昆明市学业质量监测结果提升五年级学生空间观念的实践研究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9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王仕静</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F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昆明市官渡区云溪小学</w:t>
            </w:r>
          </w:p>
        </w:tc>
      </w:tr>
      <w:tr w14:paraId="504C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EF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B6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基于质量监测结果的小学高段英语阅读素养向初中衔接策略实践研究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3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  欣</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72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官渡区萃智海伦学校</w:t>
            </w:r>
          </w:p>
        </w:tc>
      </w:tr>
      <w:tr w14:paraId="7597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6F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71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基于质量检测结果以结构化分享支架撬动学生思维能力提升的路径研究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1C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祝  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11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官渡区教育发展研究院</w:t>
            </w:r>
          </w:p>
        </w:tc>
      </w:tr>
      <w:tr w14:paraId="02C8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FF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F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《构建校园欺凌一体化支持系统的应用研究》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B4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李春奇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8C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昆明市官渡区云溪小学</w:t>
            </w:r>
          </w:p>
        </w:tc>
      </w:tr>
      <w:tr w14:paraId="4709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05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A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数据驱动的小学数学 “综合与实践” 教学优化策略研究 —— 萃智海伦学校案例分析</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8E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曹雄丽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D6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官渡区萃智海伦学校</w:t>
            </w:r>
          </w:p>
        </w:tc>
      </w:tr>
      <w:tr w14:paraId="4ABC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E7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3B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基于质量监测结果的小学高年级整本书高效阅读的策略研究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20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杨慧杰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47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官渡区南站小学</w:t>
            </w:r>
          </w:p>
        </w:tc>
      </w:tr>
      <w:tr w14:paraId="5681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7A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0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《数据驱动下区域小学数学质量监测结果应用机制研究》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4C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方玉红</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A2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昆明市盘龙区教师进修学校</w:t>
            </w:r>
          </w:p>
        </w:tc>
      </w:tr>
      <w:tr w14:paraId="5E6B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13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7A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《昆明质量监测导向下小学非连续性文本阅读教学策略实践案例——以主题板报制作为例》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AE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张海艳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F9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昆明市盘龙区盘龙小学</w:t>
            </w:r>
          </w:p>
        </w:tc>
      </w:tr>
      <w:tr w14:paraId="3283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BC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D7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聚焦弱项：基于监测结果的小学信息科技课堂“教—学—评”一致性改进实践研究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AE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周海军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C3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昆明市盘龙区东华小学</w:t>
            </w:r>
          </w:p>
        </w:tc>
      </w:tr>
      <w:tr w14:paraId="67EE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4F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C3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基于质量监测结果提升五年级学生阅读与鉴赏能力的应用案例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E0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方  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6D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昆明市盘龙区教师进修学校</w:t>
            </w:r>
          </w:p>
        </w:tc>
      </w:tr>
      <w:tr w14:paraId="75B9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3E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FF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人工智能赋能教学评价：推进区域初中数学优质均衡发展的策略研究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FA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杨周荣麟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F0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昆明市盘龙区教师进修学校</w:t>
            </w:r>
          </w:p>
        </w:tc>
      </w:tr>
      <w:tr w14:paraId="2C75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C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F4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基于质量监测结果的教师多层级分类培养实践研究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07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何剑峰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A7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昆明市盘龙区教师进修学校</w:t>
            </w:r>
          </w:p>
        </w:tc>
      </w:tr>
      <w:tr w14:paraId="2F35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90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91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质量监测结果数据赋能初中英语新教材语音教学的案例研究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29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李舒婷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BD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昆明市盘龙区师大实验昆明湖中学</w:t>
            </w:r>
          </w:p>
        </w:tc>
      </w:tr>
      <w:tr w14:paraId="1F6D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7A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C4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《基于质量监测结果的嵩明县小学数学城乡共同体学校校本教研案例研究》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38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顾  瑗</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81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嵩明县基础教育发展研究中心</w:t>
            </w:r>
          </w:p>
        </w:tc>
      </w:tr>
      <w:tr w14:paraId="4A15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6A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6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基于监测数据的初中生阅读与写作素养一体化提升案例研究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7C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叶艳娇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F0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嵩明县基础教育发展研究中心</w:t>
            </w:r>
          </w:p>
        </w:tc>
      </w:tr>
      <w:tr w14:paraId="2D12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3A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AF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借监测锚定阅读短板，以阅读实践探优径</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9B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马俐娟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AD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嵩明县小街镇积德完全小学</w:t>
            </w:r>
          </w:p>
        </w:tc>
      </w:tr>
      <w:tr w14:paraId="00FE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1F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1F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《初中数学“综合与实践”领域项目式学习的实践研究》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4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杨云君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0C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昆明市五华区云铜中学</w:t>
            </w:r>
          </w:p>
        </w:tc>
      </w:tr>
      <w:tr w14:paraId="5B87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9C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6A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《从问题到行动：区域推进五年级学生数学量感培养的实践案例》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BB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陈渝梅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B5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五华区基础教育发展研究院</w:t>
            </w:r>
          </w:p>
        </w:tc>
      </w:tr>
      <w:tr w14:paraId="2EDE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1E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96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聚焦传统文化教学策略研究，在多样化教学活动中根植文化自信</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69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温颜博</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33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五华区基础教育发展研究院</w:t>
            </w:r>
          </w:p>
        </w:tc>
      </w:tr>
      <w:tr w14:paraId="6545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E7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74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小初衔接视角下学生英语写作语篇意识培养的实践研究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2A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秦林丽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98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r w14:paraId="41C5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6F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4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A9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小学语文五年级教学中探究文本与生活联结的策略研究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94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谭雷瑾</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11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昆明市教育科学研究院</w:t>
            </w:r>
          </w:p>
        </w:tc>
      </w:tr>
    </w:tbl>
    <w:p w14:paraId="11881F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F465150">
      <w:pPr>
        <w:ind w:firstLine="3357" w:firstLineChars="1045"/>
        <w:rPr>
          <w:rFonts w:ascii="仿宋" w:hAnsi="仿宋" w:eastAsia="仿宋"/>
          <w:b/>
          <w:sz w:val="32"/>
          <w:szCs w:val="32"/>
        </w:rPr>
      </w:pPr>
    </w:p>
    <w:p w14:paraId="1ACE17BD">
      <w:pPr>
        <w:ind w:firstLine="3357" w:firstLineChars="1045"/>
        <w:rPr>
          <w:rFonts w:ascii="仿宋" w:hAnsi="仿宋" w:eastAsia="仿宋"/>
          <w:b/>
          <w:sz w:val="32"/>
          <w:szCs w:val="32"/>
        </w:rPr>
      </w:pPr>
    </w:p>
    <w:p w14:paraId="4806A496">
      <w:pPr>
        <w:jc w:val="center"/>
        <w:rPr>
          <w:rFonts w:ascii="仿宋" w:hAnsi="仿宋" w:eastAsia="仿宋"/>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1" w:fontKey="{53CD19B3-1CF9-4C32-A91F-CFD7316E2471}"/>
  </w:font>
  <w:font w:name="方正小标宋简体">
    <w:panose1 w:val="02000000000000000000"/>
    <w:charset w:val="86"/>
    <w:family w:val="auto"/>
    <w:pitch w:val="default"/>
    <w:sig w:usb0="00000001" w:usb1="08000000" w:usb2="00000000" w:usb3="00000000" w:csb0="00040000" w:csb1="00000000"/>
    <w:embedRegular r:id="rId2" w:fontKey="{6236BD0D-FA3B-4691-AE9E-A0273016C819}"/>
  </w:font>
  <w:font w:name="仿宋">
    <w:panose1 w:val="02010609060101010101"/>
    <w:charset w:val="86"/>
    <w:family w:val="modern"/>
    <w:pitch w:val="default"/>
    <w:sig w:usb0="800002BF" w:usb1="38CF7CFA" w:usb2="00000016" w:usb3="00000000" w:csb0="00040001" w:csb1="00000000"/>
    <w:embedRegular r:id="rId3" w:fontKey="{F7A1F0F0-1DF5-48C2-A8DB-CD18D23BB8B7}"/>
  </w:font>
  <w:font w:name="仿宋_GB2312">
    <w:altName w:val="仿宋"/>
    <w:panose1 w:val="00000000000000000000"/>
    <w:charset w:val="86"/>
    <w:family w:val="auto"/>
    <w:pitch w:val="default"/>
    <w:sig w:usb0="00000000" w:usb1="00000000" w:usb2="00000000" w:usb3="00000000" w:csb0="00040000" w:csb1="00000000"/>
    <w:embedRegular r:id="rId4" w:fontKey="{FD2D27C1-42FE-4862-899E-15D262BC28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c2YmRiNzQzY2NlM2M2NGM2NWYwN2MzZmIyNWVlODcifQ=="/>
  </w:docVars>
  <w:rsids>
    <w:rsidRoot w:val="00772B82"/>
    <w:rsid w:val="00011ED4"/>
    <w:rsid w:val="000242B7"/>
    <w:rsid w:val="00037190"/>
    <w:rsid w:val="00057C2F"/>
    <w:rsid w:val="000C44F4"/>
    <w:rsid w:val="000F1893"/>
    <w:rsid w:val="001658CA"/>
    <w:rsid w:val="0017044A"/>
    <w:rsid w:val="001E5F7C"/>
    <w:rsid w:val="00230A3F"/>
    <w:rsid w:val="00240732"/>
    <w:rsid w:val="00324A02"/>
    <w:rsid w:val="003617E1"/>
    <w:rsid w:val="00387117"/>
    <w:rsid w:val="003F0E34"/>
    <w:rsid w:val="00413F5B"/>
    <w:rsid w:val="004876DB"/>
    <w:rsid w:val="004C44CB"/>
    <w:rsid w:val="00547BDF"/>
    <w:rsid w:val="005533BA"/>
    <w:rsid w:val="0056654F"/>
    <w:rsid w:val="00571C45"/>
    <w:rsid w:val="00584B56"/>
    <w:rsid w:val="005C3D9D"/>
    <w:rsid w:val="005D695B"/>
    <w:rsid w:val="00633D5A"/>
    <w:rsid w:val="006D6C35"/>
    <w:rsid w:val="007364E4"/>
    <w:rsid w:val="00762E1C"/>
    <w:rsid w:val="00772B82"/>
    <w:rsid w:val="007A2AE4"/>
    <w:rsid w:val="007A424D"/>
    <w:rsid w:val="00843682"/>
    <w:rsid w:val="008516BF"/>
    <w:rsid w:val="00892FA5"/>
    <w:rsid w:val="008A16D8"/>
    <w:rsid w:val="008A6054"/>
    <w:rsid w:val="008F2A26"/>
    <w:rsid w:val="0093766D"/>
    <w:rsid w:val="009A2E6C"/>
    <w:rsid w:val="009A5EC6"/>
    <w:rsid w:val="009A6D0D"/>
    <w:rsid w:val="00A0442F"/>
    <w:rsid w:val="00A473AF"/>
    <w:rsid w:val="00AD69A4"/>
    <w:rsid w:val="00B16A7B"/>
    <w:rsid w:val="00B55598"/>
    <w:rsid w:val="00B6087B"/>
    <w:rsid w:val="00B65B30"/>
    <w:rsid w:val="00CD766B"/>
    <w:rsid w:val="00D34237"/>
    <w:rsid w:val="00DE34A7"/>
    <w:rsid w:val="00DE742B"/>
    <w:rsid w:val="00E4267F"/>
    <w:rsid w:val="00E655CB"/>
    <w:rsid w:val="00E76B5C"/>
    <w:rsid w:val="00E843EC"/>
    <w:rsid w:val="00F078C3"/>
    <w:rsid w:val="00F10125"/>
    <w:rsid w:val="00F46B4B"/>
    <w:rsid w:val="00F62E0C"/>
    <w:rsid w:val="00F86431"/>
    <w:rsid w:val="00FA73E8"/>
    <w:rsid w:val="01B52252"/>
    <w:rsid w:val="020E4DAB"/>
    <w:rsid w:val="03253DB6"/>
    <w:rsid w:val="03FE60DC"/>
    <w:rsid w:val="04001173"/>
    <w:rsid w:val="049F153A"/>
    <w:rsid w:val="05F012AD"/>
    <w:rsid w:val="07A461B0"/>
    <w:rsid w:val="093C394F"/>
    <w:rsid w:val="09A03C5B"/>
    <w:rsid w:val="09E56AB5"/>
    <w:rsid w:val="0A816107"/>
    <w:rsid w:val="0DD0091D"/>
    <w:rsid w:val="0E4A266A"/>
    <w:rsid w:val="0EA10664"/>
    <w:rsid w:val="0F4F316D"/>
    <w:rsid w:val="103510F8"/>
    <w:rsid w:val="12323B41"/>
    <w:rsid w:val="129154D7"/>
    <w:rsid w:val="12C114F0"/>
    <w:rsid w:val="132628A6"/>
    <w:rsid w:val="13B826AF"/>
    <w:rsid w:val="151C4D5C"/>
    <w:rsid w:val="15DA7DB0"/>
    <w:rsid w:val="16632F8B"/>
    <w:rsid w:val="170C5D62"/>
    <w:rsid w:val="17F47A3F"/>
    <w:rsid w:val="192E4017"/>
    <w:rsid w:val="1B11658A"/>
    <w:rsid w:val="1B6B1E72"/>
    <w:rsid w:val="1B775278"/>
    <w:rsid w:val="1F0F303C"/>
    <w:rsid w:val="1F657989"/>
    <w:rsid w:val="1FFA04EF"/>
    <w:rsid w:val="203A66C9"/>
    <w:rsid w:val="23BE4A95"/>
    <w:rsid w:val="23FA4410"/>
    <w:rsid w:val="257052B4"/>
    <w:rsid w:val="265A4FBD"/>
    <w:rsid w:val="27881298"/>
    <w:rsid w:val="29A01B99"/>
    <w:rsid w:val="29E00963"/>
    <w:rsid w:val="2B7D199A"/>
    <w:rsid w:val="2DC2388D"/>
    <w:rsid w:val="2E814939"/>
    <w:rsid w:val="2EF52270"/>
    <w:rsid w:val="2FD71D70"/>
    <w:rsid w:val="31523460"/>
    <w:rsid w:val="328D5E75"/>
    <w:rsid w:val="32ED45E0"/>
    <w:rsid w:val="331D09BE"/>
    <w:rsid w:val="337B207E"/>
    <w:rsid w:val="3384100F"/>
    <w:rsid w:val="33B726D3"/>
    <w:rsid w:val="3746796E"/>
    <w:rsid w:val="375165DC"/>
    <w:rsid w:val="37D7646D"/>
    <w:rsid w:val="38DA7053"/>
    <w:rsid w:val="390D2CAD"/>
    <w:rsid w:val="3BE949C1"/>
    <w:rsid w:val="3BFF7751"/>
    <w:rsid w:val="3C2B57D0"/>
    <w:rsid w:val="3D8C1B23"/>
    <w:rsid w:val="3F9F1F66"/>
    <w:rsid w:val="3FCC0881"/>
    <w:rsid w:val="3FEC21D0"/>
    <w:rsid w:val="3FF20FAF"/>
    <w:rsid w:val="40AF61D9"/>
    <w:rsid w:val="4300383C"/>
    <w:rsid w:val="440F6409"/>
    <w:rsid w:val="441B5933"/>
    <w:rsid w:val="44260CA4"/>
    <w:rsid w:val="44507864"/>
    <w:rsid w:val="45376CB3"/>
    <w:rsid w:val="4843326B"/>
    <w:rsid w:val="49442467"/>
    <w:rsid w:val="4AE274E7"/>
    <w:rsid w:val="4CAF4EBE"/>
    <w:rsid w:val="4E6E4E7D"/>
    <w:rsid w:val="4E9D3328"/>
    <w:rsid w:val="4EE179BF"/>
    <w:rsid w:val="511D5220"/>
    <w:rsid w:val="51326FE8"/>
    <w:rsid w:val="523A67C3"/>
    <w:rsid w:val="5438057C"/>
    <w:rsid w:val="555B3612"/>
    <w:rsid w:val="586E1101"/>
    <w:rsid w:val="59760D51"/>
    <w:rsid w:val="5D1F5AC2"/>
    <w:rsid w:val="5D81366F"/>
    <w:rsid w:val="5DA13301"/>
    <w:rsid w:val="5E9C5B94"/>
    <w:rsid w:val="5E9D546B"/>
    <w:rsid w:val="5EC549C2"/>
    <w:rsid w:val="5F1B1074"/>
    <w:rsid w:val="60752754"/>
    <w:rsid w:val="61DA2F01"/>
    <w:rsid w:val="6342009B"/>
    <w:rsid w:val="64000C72"/>
    <w:rsid w:val="648C6319"/>
    <w:rsid w:val="64EB6751"/>
    <w:rsid w:val="65B9129B"/>
    <w:rsid w:val="65C05BA5"/>
    <w:rsid w:val="6A443C56"/>
    <w:rsid w:val="6C1B29E2"/>
    <w:rsid w:val="6E6602EF"/>
    <w:rsid w:val="6FF83AA6"/>
    <w:rsid w:val="70310A05"/>
    <w:rsid w:val="705E4081"/>
    <w:rsid w:val="70C50626"/>
    <w:rsid w:val="72C91EA1"/>
    <w:rsid w:val="72DF6C29"/>
    <w:rsid w:val="733A7C00"/>
    <w:rsid w:val="7530111D"/>
    <w:rsid w:val="77A927A7"/>
    <w:rsid w:val="790E2CA9"/>
    <w:rsid w:val="7A3A7DA7"/>
    <w:rsid w:val="7AF91F25"/>
    <w:rsid w:val="7B5F5304"/>
    <w:rsid w:val="7B6425DF"/>
    <w:rsid w:val="7D1F257A"/>
    <w:rsid w:val="7D883490"/>
    <w:rsid w:val="7E24108A"/>
    <w:rsid w:val="7E2E5C88"/>
    <w:rsid w:val="7E41748B"/>
    <w:rsid w:val="7ECB415C"/>
    <w:rsid w:val="7FD16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41"/>
    <w:basedOn w:val="6"/>
    <w:qFormat/>
    <w:uiPriority w:val="0"/>
    <w:rPr>
      <w:rFonts w:hint="default" w:ascii="等线" w:hAnsi="等线" w:eastAsia="等线" w:cs="等线"/>
      <w:color w:val="000000"/>
      <w:sz w:val="20"/>
      <w:szCs w:val="20"/>
      <w:u w:val="none"/>
    </w:rPr>
  </w:style>
  <w:style w:type="character" w:customStyle="1" w:styleId="10">
    <w:name w:val="font31"/>
    <w:basedOn w:val="6"/>
    <w:qFormat/>
    <w:uiPriority w:val="0"/>
    <w:rPr>
      <w:rFonts w:hint="default" w:ascii="等线" w:hAnsi="等线" w:eastAsia="等线" w:cs="等线"/>
      <w:color w:val="000000"/>
      <w:sz w:val="20"/>
      <w:szCs w:val="20"/>
      <w:u w:val="none"/>
    </w:rPr>
  </w:style>
  <w:style w:type="character" w:customStyle="1" w:styleId="11">
    <w:name w:val="font01"/>
    <w:basedOn w:val="6"/>
    <w:qFormat/>
    <w:uiPriority w:val="0"/>
    <w:rPr>
      <w:rFonts w:hint="eastAsia" w:ascii="宋体" w:hAnsi="宋体" w:eastAsia="宋体" w:cs="宋体"/>
      <w:color w:val="000000"/>
      <w:sz w:val="20"/>
      <w:szCs w:val="20"/>
      <w:u w:val="none"/>
    </w:rPr>
  </w:style>
  <w:style w:type="character" w:customStyle="1" w:styleId="12">
    <w:name w:val="font61"/>
    <w:basedOn w:val="6"/>
    <w:qFormat/>
    <w:uiPriority w:val="0"/>
    <w:rPr>
      <w:rFonts w:hint="default" w:ascii="Times New Roman" w:hAnsi="Times New Roman" w:cs="Times New Roman"/>
      <w:color w:val="000000"/>
      <w:sz w:val="20"/>
      <w:szCs w:val="20"/>
      <w:u w:val="none"/>
    </w:rPr>
  </w:style>
  <w:style w:type="character" w:customStyle="1" w:styleId="13">
    <w:name w:val="font51"/>
    <w:basedOn w:val="6"/>
    <w:qFormat/>
    <w:uiPriority w:val="0"/>
    <w:rPr>
      <w:rFonts w:hint="default" w:ascii="Times New Roman" w:hAnsi="Times New Roman" w:cs="Times New Roman"/>
      <w:color w:val="000000"/>
      <w:sz w:val="28"/>
      <w:szCs w:val="28"/>
      <w:u w:val="none"/>
    </w:rPr>
  </w:style>
  <w:style w:type="character" w:customStyle="1" w:styleId="14">
    <w:name w:val="font81"/>
    <w:basedOn w:val="6"/>
    <w:qFormat/>
    <w:uiPriority w:val="0"/>
    <w:rPr>
      <w:rFonts w:hint="default" w:ascii="等线" w:hAnsi="等线" w:eastAsia="等线" w:cs="等线"/>
      <w:color w:val="333333"/>
      <w:sz w:val="20"/>
      <w:szCs w:val="20"/>
      <w:u w:val="none"/>
    </w:rPr>
  </w:style>
  <w:style w:type="character" w:customStyle="1" w:styleId="15">
    <w:name w:val="font71"/>
    <w:basedOn w:val="6"/>
    <w:qFormat/>
    <w:uiPriority w:val="0"/>
    <w:rPr>
      <w:rFonts w:hint="default" w:ascii="Times New Roman" w:hAnsi="Times New Roman" w:cs="Times New Roman"/>
      <w:color w:val="000000"/>
      <w:sz w:val="28"/>
      <w:szCs w:val="28"/>
      <w:u w:val="none"/>
    </w:rPr>
  </w:style>
  <w:style w:type="character" w:customStyle="1" w:styleId="16">
    <w:name w:val="font21"/>
    <w:basedOn w:val="6"/>
    <w:qFormat/>
    <w:uiPriority w:val="0"/>
    <w:rPr>
      <w:rFonts w:hint="default" w:ascii="等线" w:hAnsi="等线" w:eastAsia="等线" w:cs="等线"/>
      <w:color w:val="000000"/>
      <w:sz w:val="20"/>
      <w:szCs w:val="20"/>
      <w:u w:val="none"/>
    </w:rPr>
  </w:style>
  <w:style w:type="character" w:customStyle="1" w:styleId="17">
    <w:name w:val="font11"/>
    <w:basedOn w:val="6"/>
    <w:qFormat/>
    <w:uiPriority w:val="0"/>
    <w:rPr>
      <w:rFonts w:hint="eastAsia" w:ascii="华文仿宋" w:hAnsi="华文仿宋" w:eastAsia="华文仿宋" w:cs="华文仿宋"/>
      <w:color w:val="000000"/>
      <w:sz w:val="24"/>
      <w:szCs w:val="24"/>
      <w:u w:val="none"/>
    </w:rPr>
  </w:style>
  <w:style w:type="character" w:customStyle="1" w:styleId="18">
    <w:name w:val="font12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2777</Words>
  <Characters>2865</Characters>
  <Lines>26</Lines>
  <Paragraphs>7</Paragraphs>
  <TotalTime>0</TotalTime>
  <ScaleCrop>false</ScaleCrop>
  <LinksUpToDate>false</LinksUpToDate>
  <CharactersWithSpaces>2932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2020-06-05T01:59:00Z</dcterms:created>
  <dc:creator>lenovo</dc:creator>
  <cp:lastModifiedBy>Lim(sad)=0</cp:lastModifiedBy>
  <dcterms:modified xsi:type="dcterms:W3CDTF">2025-10-31T08:22:06Z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5D9C2318524B4F78B84C4AA74D91D8D2_12</vt:lpwstr>
  </property>
  <property fmtid="{D5CDD505-2E9C-101B-9397-08002B2CF9AE}" pid="4" name="KSOTemplateDocerSaveRecord">
    <vt:lpwstr>eyJoZGlkIjoiYTc2YmRiNzQzY2NlM2M2NGM2NWYwN2MzZmIyNWVlODciLCJ1c2VySWQiOiI2MDA0MDI3NzMifQ==</vt:lpwstr>
  </property>
</Properties>
</file>